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E58" w:rsidRPr="005723E1" w:rsidRDefault="00200E58" w:rsidP="00021944">
      <w:pPr>
        <w:spacing w:after="120"/>
        <w:rPr>
          <w:b/>
          <w:bCs/>
          <w:sz w:val="28"/>
          <w:szCs w:val="28"/>
        </w:rPr>
      </w:pPr>
      <w:r w:rsidRPr="00021944">
        <w:rPr>
          <w:b/>
          <w:bCs/>
          <w:sz w:val="28"/>
          <w:szCs w:val="28"/>
        </w:rPr>
        <w:t xml:space="preserve">ΠΑΡΑΡΤΗΜΑ </w:t>
      </w:r>
      <w:r w:rsidRPr="00021944">
        <w:rPr>
          <w:b/>
          <w:bCs/>
          <w:sz w:val="28"/>
          <w:szCs w:val="28"/>
          <w:lang w:val="en-US"/>
        </w:rPr>
        <w:t>II</w:t>
      </w:r>
    </w:p>
    <w:p w:rsidR="00B6599C" w:rsidRPr="00023D43" w:rsidRDefault="00B6599C" w:rsidP="00021944">
      <w:pPr>
        <w:spacing w:after="0"/>
        <w:rPr>
          <w:b/>
          <w:bCs/>
        </w:rPr>
      </w:pPr>
      <w:r w:rsidRPr="00023D43">
        <w:rPr>
          <w:b/>
          <w:bCs/>
        </w:rPr>
        <w:t xml:space="preserve">Θεσμικό </w:t>
      </w:r>
      <w:r w:rsidR="005723E1" w:rsidRPr="00023D43">
        <w:rPr>
          <w:b/>
          <w:bCs/>
        </w:rPr>
        <w:t xml:space="preserve">και επιχειρησιακό </w:t>
      </w:r>
      <w:r w:rsidRPr="00023D43">
        <w:rPr>
          <w:b/>
          <w:bCs/>
        </w:rPr>
        <w:t>πλαίσιο</w:t>
      </w:r>
      <w:r w:rsidR="005723E1" w:rsidRPr="00023D43">
        <w:rPr>
          <w:b/>
          <w:bCs/>
        </w:rPr>
        <w:t xml:space="preserve"> για την αντιμετώπιση των εξαρτήσεων</w:t>
      </w:r>
    </w:p>
    <w:p w:rsidR="005723E1" w:rsidRPr="00023D43" w:rsidRDefault="005723E1" w:rsidP="00021944">
      <w:pPr>
        <w:spacing w:after="0"/>
        <w:rPr>
          <w:b/>
          <w:bCs/>
        </w:rPr>
      </w:pPr>
    </w:p>
    <w:p w:rsidR="005723E1" w:rsidRPr="005723E1" w:rsidRDefault="005723E1" w:rsidP="005723E1">
      <w:pPr>
        <w:numPr>
          <w:ilvl w:val="0"/>
          <w:numId w:val="19"/>
        </w:numPr>
        <w:spacing w:after="0"/>
      </w:pPr>
      <w:r w:rsidRPr="005723E1">
        <w:t xml:space="preserve">Ν.1729/1987 «Καταπολέμηση της διάδοσης των Ναρκωτικών, προστασία των νέων και άλλες διατάξεις» (ΦΕΚ 144/Α/7-8-1987). </w:t>
      </w:r>
    </w:p>
    <w:p w:rsidR="005723E1" w:rsidRPr="005723E1" w:rsidRDefault="005723E1" w:rsidP="005723E1">
      <w:pPr>
        <w:numPr>
          <w:ilvl w:val="0"/>
          <w:numId w:val="19"/>
        </w:numPr>
        <w:spacing w:after="0"/>
      </w:pPr>
      <w:r w:rsidRPr="005723E1">
        <w:t>Ν.2161/1993 «Τροποποίηση και συμπλήρωση των διατάξεων του Ν.1729/1987 "Καταπολέμηση της διάδοσης των ναρκωτικών , προστασία των νέων και άλλες διατάξεις"» (ΦΕΚ 119/Α/26-7-1993), όπως ισχύει.</w:t>
      </w:r>
    </w:p>
    <w:p w:rsidR="005723E1" w:rsidRPr="005723E1" w:rsidRDefault="005723E1" w:rsidP="005723E1">
      <w:pPr>
        <w:numPr>
          <w:ilvl w:val="0"/>
          <w:numId w:val="19"/>
        </w:numPr>
        <w:spacing w:after="0"/>
      </w:pPr>
      <w:r w:rsidRPr="005723E1">
        <w:t xml:space="preserve">Ν.2716/1999 «Ανάπτυξη και εκσυγχρονισμός των υπηρεσιών ψυχικής υγείας και άλλες διατάξεις» (ΦΕΚ96/Α/17-5-1999). </w:t>
      </w:r>
    </w:p>
    <w:p w:rsidR="005723E1" w:rsidRPr="005723E1" w:rsidRDefault="005723E1" w:rsidP="005723E1">
      <w:pPr>
        <w:numPr>
          <w:ilvl w:val="0"/>
          <w:numId w:val="19"/>
        </w:numPr>
        <w:spacing w:after="0"/>
      </w:pPr>
      <w:r w:rsidRPr="005723E1">
        <w:t xml:space="preserve">Ν.3204/2003 «Τροποποίηση και συμπλήρωση της Νομοθεσίας για το Εθνικό Σύστημα Υγείας και ρυθμίσεις άλλων θεμάτων του Υπουργείου Υγείας και Πρόνοιας» (ΦΕΚ296/Α/23-2-2003). </w:t>
      </w:r>
    </w:p>
    <w:p w:rsidR="005723E1" w:rsidRPr="005723E1" w:rsidRDefault="005723E1" w:rsidP="005723E1">
      <w:pPr>
        <w:numPr>
          <w:ilvl w:val="0"/>
          <w:numId w:val="19"/>
        </w:numPr>
        <w:spacing w:after="0"/>
      </w:pPr>
      <w:r w:rsidRPr="005723E1">
        <w:t>Ν.3459/2006 «Κώδικας Νόμων για τα Ναρκωτικά» (ΦΕΚ103/Α/25.5.2006), όπως τροποποιήθηκε και ισχύει.</w:t>
      </w:r>
    </w:p>
    <w:p w:rsidR="005723E1" w:rsidRPr="005723E1" w:rsidRDefault="005723E1" w:rsidP="005723E1">
      <w:pPr>
        <w:numPr>
          <w:ilvl w:val="0"/>
          <w:numId w:val="19"/>
        </w:numPr>
        <w:spacing w:after="0"/>
      </w:pPr>
      <w:r w:rsidRPr="005723E1">
        <w:t xml:space="preserve">Ν.4139/2013 “Νόμος περί </w:t>
      </w:r>
      <w:proofErr w:type="spellStart"/>
      <w:r w:rsidRPr="005723E1">
        <w:t>Εξαρτησιογόνων</w:t>
      </w:r>
      <w:proofErr w:type="spellEnd"/>
      <w:r w:rsidRPr="005723E1">
        <w:t xml:space="preserve"> Ουσιών” (ΦΕΚ74/Α/20-3-2013), όπως τροποποιήθηκε και ισχύει.</w:t>
      </w:r>
    </w:p>
    <w:p w:rsidR="005723E1" w:rsidRPr="005723E1" w:rsidRDefault="005723E1" w:rsidP="005723E1">
      <w:pPr>
        <w:numPr>
          <w:ilvl w:val="0"/>
          <w:numId w:val="19"/>
        </w:numPr>
        <w:spacing w:after="0"/>
      </w:pPr>
      <w:r w:rsidRPr="005723E1">
        <w:t>Ν.4368/2016 «Μέτρα για την επιτάχυνση του κυβερνητικού έργου και άλλες διατάξεις» (ΦΕΚ21/Α/21-2-2016).</w:t>
      </w:r>
    </w:p>
    <w:p w:rsidR="005723E1" w:rsidRPr="005723E1" w:rsidRDefault="005723E1" w:rsidP="005723E1">
      <w:pPr>
        <w:numPr>
          <w:ilvl w:val="0"/>
          <w:numId w:val="19"/>
        </w:numPr>
        <w:spacing w:after="0"/>
      </w:pPr>
      <w:r w:rsidRPr="005723E1">
        <w:t>Π.Δ. 121/2017 «Οργανισμός του Υπουργείου Υγείας», όπως ισχύει.</w:t>
      </w:r>
    </w:p>
    <w:p w:rsidR="005723E1" w:rsidRPr="005723E1" w:rsidRDefault="005723E1" w:rsidP="005723E1">
      <w:pPr>
        <w:numPr>
          <w:ilvl w:val="0"/>
          <w:numId w:val="19"/>
        </w:numPr>
        <w:spacing w:after="0"/>
      </w:pPr>
      <w:r w:rsidRPr="005723E1">
        <w:t xml:space="preserve">Η υπ. </w:t>
      </w:r>
      <w:proofErr w:type="spellStart"/>
      <w:r w:rsidRPr="005723E1">
        <w:t>αριθμ</w:t>
      </w:r>
      <w:proofErr w:type="spellEnd"/>
      <w:r w:rsidRPr="005723E1">
        <w:t>. Δ.ΥΓ6/Γ.Π.ΟΙΚ.104741/2003 Κοινή Υπουργική Απόφαση «Εσωτερικός Κανονισμός Λειτουργίας του Οργανισμού κατά των Ναρκωτικών (ΟΚΑΝΑ)» (ΦΕΚ1603/Β/30.10.2003)</w:t>
      </w:r>
    </w:p>
    <w:p w:rsidR="005723E1" w:rsidRPr="005723E1" w:rsidRDefault="005723E1" w:rsidP="005723E1">
      <w:pPr>
        <w:numPr>
          <w:ilvl w:val="0"/>
          <w:numId w:val="19"/>
        </w:numPr>
        <w:spacing w:after="0"/>
      </w:pPr>
      <w:r w:rsidRPr="005723E1">
        <w:t xml:space="preserve">Η υπ. </w:t>
      </w:r>
      <w:proofErr w:type="spellStart"/>
      <w:r w:rsidRPr="005723E1">
        <w:t>αριθμ</w:t>
      </w:r>
      <w:proofErr w:type="spellEnd"/>
      <w:r w:rsidRPr="005723E1">
        <w:t>. Δ23/οικ.19061-1457/2016 Κοινή Υπουργική Απόφαση (ΦΕΚ 1336/Β΄/12.05.2016) «Καθορισμός πλαισίου ελάχιστων προδιαγραφών για Δομές Παροχής Υπηρεσιών σε Αστέγους».</w:t>
      </w:r>
    </w:p>
    <w:p w:rsidR="005723E1" w:rsidRPr="005723E1" w:rsidRDefault="005723E1" w:rsidP="005723E1">
      <w:pPr>
        <w:numPr>
          <w:ilvl w:val="0"/>
          <w:numId w:val="19"/>
        </w:numPr>
        <w:spacing w:after="0"/>
      </w:pPr>
      <w:r w:rsidRPr="005723E1">
        <w:t>Ο Κανονισμός Εργασίας του Κέντρου Θεραπείας Εξαρτημένων Ατόμων (ΚΕΘΕΑ).</w:t>
      </w:r>
    </w:p>
    <w:p w:rsidR="005723E1" w:rsidRPr="005723E1" w:rsidRDefault="005723E1" w:rsidP="005723E1">
      <w:pPr>
        <w:numPr>
          <w:ilvl w:val="0"/>
          <w:numId w:val="19"/>
        </w:numPr>
        <w:spacing w:after="0"/>
      </w:pPr>
      <w:r w:rsidRPr="005723E1">
        <w:t>Ο Κώδικας Δεοντολογίας του Κέντρου Θεραπείας Εξαρτημένων Ατόμων (ΚΕΘΕΑ).</w:t>
      </w:r>
    </w:p>
    <w:p w:rsidR="005723E1" w:rsidRPr="005723E1" w:rsidRDefault="005723E1" w:rsidP="005723E1">
      <w:pPr>
        <w:numPr>
          <w:ilvl w:val="0"/>
          <w:numId w:val="19"/>
        </w:numPr>
        <w:spacing w:after="0"/>
      </w:pPr>
      <w:r w:rsidRPr="005723E1">
        <w:t>Η Εθνική Στρατηγική Υγείας και Δράσεις του τομέα υγείας στο ΕΣΠΑ 2014-2020, όπως δημοσιεύτηκε στις 3-12-2016. (</w:t>
      </w:r>
      <w:hyperlink r:id="rId6" w:history="1">
        <w:r w:rsidRPr="005723E1">
          <w:rPr>
            <w:rStyle w:val="-"/>
          </w:rPr>
          <w:t>http://www.moh.gov.gr/articles/health/</w:t>
        </w:r>
      </w:hyperlink>
      <w:r w:rsidRPr="005723E1">
        <w:t xml:space="preserve">) </w:t>
      </w:r>
    </w:p>
    <w:p w:rsidR="005723E1" w:rsidRPr="005723E1" w:rsidRDefault="005723E1" w:rsidP="00021944">
      <w:pPr>
        <w:spacing w:after="0"/>
        <w:rPr>
          <w:lang w:val="en-US"/>
        </w:rPr>
      </w:pPr>
    </w:p>
    <w:p w:rsidR="001928BA" w:rsidRPr="001928BA" w:rsidRDefault="001928BA" w:rsidP="005723E1">
      <w:pPr>
        <w:tabs>
          <w:tab w:val="left" w:pos="1843"/>
        </w:tabs>
        <w:spacing w:after="120"/>
      </w:pPr>
      <w:r w:rsidRPr="001928BA">
        <w:rPr>
          <w:b/>
          <w:bCs/>
        </w:rPr>
        <w:t>Ειδ</w:t>
      </w:r>
      <w:r w:rsidR="00023D43">
        <w:rPr>
          <w:b/>
          <w:bCs/>
        </w:rPr>
        <w:t xml:space="preserve">ικοί Όροι </w:t>
      </w:r>
    </w:p>
    <w:p w:rsidR="00B85459" w:rsidRDefault="001928BA" w:rsidP="00021944">
      <w:pPr>
        <w:numPr>
          <w:ilvl w:val="0"/>
          <w:numId w:val="8"/>
        </w:numPr>
        <w:tabs>
          <w:tab w:val="clear" w:pos="720"/>
        </w:tabs>
        <w:spacing w:after="120"/>
        <w:ind w:left="284" w:hanging="284"/>
        <w:jc w:val="both"/>
      </w:pPr>
      <w:r w:rsidRPr="001928BA">
        <w:t>Για τις π</w:t>
      </w:r>
      <w:r>
        <w:t>ρο</w:t>
      </w:r>
      <w:r w:rsidRPr="001928BA">
        <w:t>τ</w:t>
      </w:r>
      <w:r w:rsidR="00B85459">
        <w:t>εινόμενες δράσεις πρόληψης και αντιμετώπισης των εξαρτήσεων, οι φορείς προσκομίζουν</w:t>
      </w:r>
      <w:r w:rsidRPr="001928BA">
        <w:t>  με την υποβολή πρότασης την προβλεπόμενη Υπουργική Απόφαση (ή όπως η αρμοδιότητα εκχωρείται, απόφαση Γ.Γ.) Έγκρισης Σκοπιμότητας</w:t>
      </w:r>
      <w:r w:rsidR="00B85459">
        <w:t>.</w:t>
      </w:r>
      <w:r w:rsidRPr="001928BA">
        <w:t xml:space="preserve"> </w:t>
      </w:r>
    </w:p>
    <w:p w:rsidR="00927A16" w:rsidRDefault="001928BA" w:rsidP="00927A16">
      <w:pPr>
        <w:numPr>
          <w:ilvl w:val="0"/>
          <w:numId w:val="8"/>
        </w:numPr>
        <w:tabs>
          <w:tab w:val="clear" w:pos="720"/>
        </w:tabs>
        <w:spacing w:after="120"/>
        <w:ind w:left="284" w:hanging="284"/>
        <w:jc w:val="both"/>
      </w:pPr>
      <w:r w:rsidRPr="001928BA">
        <w:t>Ο δυνητικός Δικαιούχος, στο ΤΔΠ, θα πρέπει να αιτιολογήσει και να τεκμηριώσει την αναγκαιότητα χρηματοδότησης της προτεινόμενης δράσης, παρέχοντας στοιχεία για τον τρόπο δραστηριοποίησης και τεκμηριώνοντας τη σύνθεση των ωφελουμένων/ομάδας στόχου στη</w:t>
      </w:r>
      <w:r w:rsidR="00290D4B">
        <w:t>ν</w:t>
      </w:r>
      <w:r w:rsidRPr="001928BA">
        <w:t xml:space="preserve"> περιοχή παρέμβασης. Πρέπει επίσης να περιγράφει την κατηγορία και </w:t>
      </w:r>
      <w:r w:rsidR="00290D4B">
        <w:t xml:space="preserve">τον </w:t>
      </w:r>
      <w:r w:rsidRPr="001928BA">
        <w:t>αριθμό των ωφελουμένων που αναμένεται να εξυπηρετήσει.</w:t>
      </w:r>
    </w:p>
    <w:p w:rsidR="001928BA" w:rsidRPr="001928BA" w:rsidRDefault="001928BA" w:rsidP="00021944">
      <w:pPr>
        <w:numPr>
          <w:ilvl w:val="0"/>
          <w:numId w:val="8"/>
        </w:numPr>
        <w:tabs>
          <w:tab w:val="clear" w:pos="720"/>
        </w:tabs>
        <w:spacing w:after="120"/>
        <w:ind w:left="284" w:hanging="284"/>
        <w:jc w:val="both"/>
      </w:pPr>
      <w:r w:rsidRPr="001928BA">
        <w:t xml:space="preserve">Προκειμένου να εξασφαλιστεί η απρόσκοπτη υλοποίηση της Πράξης, ο Δικαιούχος θα πρέπει να εναρμονιστεί, σε όλα τα θέματα (προδιαγραφές λειτουργίας, στελέχωσης, κτιριακών προδιαγραφών, </w:t>
      </w:r>
      <w:r w:rsidR="00927A16">
        <w:t>κλπ) με την κείμενη νομοθεσία.</w:t>
      </w:r>
    </w:p>
    <w:p w:rsidR="001928BA" w:rsidRPr="001928BA" w:rsidRDefault="001928BA" w:rsidP="00021944">
      <w:pPr>
        <w:numPr>
          <w:ilvl w:val="0"/>
          <w:numId w:val="8"/>
        </w:numPr>
        <w:tabs>
          <w:tab w:val="clear" w:pos="720"/>
        </w:tabs>
        <w:spacing w:after="120"/>
        <w:ind w:left="284" w:hanging="284"/>
        <w:jc w:val="both"/>
      </w:pPr>
      <w:r w:rsidRPr="001928BA">
        <w:t>Να μεριμνήσει για την τήρηση των όρων προσβασιμότητας, έτσι ώστε να διασφαλιστεί η προσβασιμότητα των ατόμων ΑΜΕΑ (τόσο σε όρους φυσικής πρόσβασης όσο και σε όρους πληροφόρησης), σύμφωνα με το ισχύον θεσμικό εθνικό και κοινοτικό πλαίσιο.</w:t>
      </w:r>
    </w:p>
    <w:p w:rsidR="001F05FD" w:rsidRDefault="001928BA" w:rsidP="001F05FD">
      <w:pPr>
        <w:numPr>
          <w:ilvl w:val="0"/>
          <w:numId w:val="8"/>
        </w:numPr>
        <w:tabs>
          <w:tab w:val="clear" w:pos="720"/>
        </w:tabs>
        <w:spacing w:after="120"/>
        <w:ind w:left="284" w:hanging="284"/>
        <w:jc w:val="both"/>
      </w:pPr>
      <w:r w:rsidRPr="001928BA">
        <w:t>Ο δυνητικός δικαιούχος απαιτείται να υποβάλει αν</w:t>
      </w:r>
      <w:r w:rsidR="00927A16">
        <w:t>άλυση του προϋπολογισμού και της</w:t>
      </w:r>
      <w:r w:rsidRPr="001928BA">
        <w:t xml:space="preserve"> αιτούμενη</w:t>
      </w:r>
      <w:r w:rsidR="00927A16">
        <w:t>ς</w:t>
      </w:r>
      <w:r w:rsidRPr="001928BA">
        <w:t xml:space="preserve"> στελέχωση</w:t>
      </w:r>
      <w:r w:rsidR="00927A16">
        <w:t>ς</w:t>
      </w:r>
      <w:r w:rsidR="00BD6E01" w:rsidRPr="00BD6E01">
        <w:t xml:space="preserve">, </w:t>
      </w:r>
      <w:r w:rsidR="00BD6E01">
        <w:t>προδιαγραφή κτιριακής υποδομής ή και προμήθειας εξοπλισμού</w:t>
      </w:r>
      <w:bookmarkStart w:id="0" w:name="_GoBack"/>
      <w:bookmarkEnd w:id="0"/>
      <w:r w:rsidRPr="001928BA">
        <w:t>.</w:t>
      </w:r>
    </w:p>
    <w:p w:rsidR="001F05FD" w:rsidRDefault="001F05FD" w:rsidP="001F05FD">
      <w:pPr>
        <w:numPr>
          <w:ilvl w:val="0"/>
          <w:numId w:val="8"/>
        </w:numPr>
        <w:tabs>
          <w:tab w:val="clear" w:pos="720"/>
        </w:tabs>
        <w:spacing w:after="120"/>
        <w:ind w:left="284" w:hanging="284"/>
        <w:jc w:val="both"/>
      </w:pPr>
      <w:r w:rsidRPr="001F05FD">
        <w:t xml:space="preserve">Ο Δικαιούχος θα πρέπει να μεριμνήσει για την κατάλληλη ενημέρωση και πληροφόρηση της τοπικής κοινότητας της Περιφέρειας και να διασφαλίσει την τήρηση των όρων ενημέρωσης και </w:t>
      </w:r>
      <w:r w:rsidRPr="001F05FD">
        <w:lastRenderedPageBreak/>
        <w:t>πληροφόρησης που θέτει ο Κανονισμός ΕΕ 1303/2013 (Γενικός Κανονισμός), ο Κανονισμός 1304/2013 (Κανονισμός ΕΚΤ) καθώς και ο Οδηγός Δημοσιότητας ΕΣΠΑ για την περίοδο 2014-2020 της Εθνικής Αρχής Συντονισμού. Για το σκοπό αυτό, υποβάλλει συνοπτικό σχέδιο ενεργειών  για την ενημέρωση της κοινότητας, με ιδιαίτερη επικέντρωση στο πληθυσμό στόχο της δράσης/παρέμβασης.</w:t>
      </w:r>
    </w:p>
    <w:p w:rsidR="001F05FD" w:rsidRDefault="001F05FD" w:rsidP="001F05FD">
      <w:pPr>
        <w:numPr>
          <w:ilvl w:val="0"/>
          <w:numId w:val="8"/>
        </w:numPr>
        <w:tabs>
          <w:tab w:val="clear" w:pos="720"/>
        </w:tabs>
        <w:spacing w:after="120"/>
        <w:ind w:left="284" w:hanging="284"/>
        <w:jc w:val="both"/>
      </w:pPr>
      <w:r w:rsidRPr="001F05FD">
        <w:t xml:space="preserve">Θα πρέπει να διασφαλίζεται ο τρόπος Διατήρησης των αποτελεσμάτων της προτεινόμενης πράξης, μετά την ολοκλήρωσή της. Ειδικότερα, όπου απαιτείται, γίνεται αναφορά των σχετικών φορέων/ δομών/ μηχανισμών λειτουργίας ή των ενεργειών που θα πρέπει να αναληφθούν με το χρονοδιάγραμμά τους, προκειμένου να εξασφαλισθεί η λειτουργία και η συντήρηση της πράξης και να αξιοποιηθούν τα αποτελέσματά της. </w:t>
      </w:r>
    </w:p>
    <w:p w:rsidR="001F05FD" w:rsidRDefault="001F05FD" w:rsidP="001F05FD">
      <w:pPr>
        <w:numPr>
          <w:ilvl w:val="0"/>
          <w:numId w:val="8"/>
        </w:numPr>
        <w:tabs>
          <w:tab w:val="clear" w:pos="720"/>
        </w:tabs>
        <w:spacing w:after="120"/>
        <w:ind w:left="284" w:hanging="284"/>
        <w:jc w:val="both"/>
      </w:pPr>
      <w:r w:rsidRPr="001F05FD">
        <w:t>Στην περίπτωση χρηματοδότησης δράσεων, οι οποίες αποτελούν αντικείμενο της παρούσας Πρόσκλησης και δεν προβλέπεται να λειτουργήσουν /αξιοποιηθούν μετά την ολοκλήρωσή τους, θα πρέπει να αποτυπωθούν συνημμένα στο ΤΔΠΠ οι διαδικασίες ή η/οι λειτουργία/ες του φορέα λειτουργίας που αναμένεται να βελτιωθούν ώστε να αξιοποιηθεί το αποτέλεσμα των χρηματοδοτούμενων δράσεων</w:t>
      </w:r>
    </w:p>
    <w:p w:rsidR="001F05FD" w:rsidRDefault="001F05FD" w:rsidP="001F05FD">
      <w:pPr>
        <w:numPr>
          <w:ilvl w:val="0"/>
          <w:numId w:val="8"/>
        </w:numPr>
        <w:tabs>
          <w:tab w:val="clear" w:pos="720"/>
        </w:tabs>
        <w:spacing w:after="120"/>
        <w:ind w:left="284" w:hanging="284"/>
        <w:jc w:val="both"/>
      </w:pPr>
      <w:r w:rsidRPr="001F05FD">
        <w:t xml:space="preserve">Για την τρέχουσα προγραμματική περίοδο, προβλέπεται ετησίως η μέτρηση των δεικτών του Επιχειρησιακού Προγράμματος. Ο προσδιορισμός των απαιτήσεων για την έγκαιρη συλλογή και παρακολούθηση δεδομένων δεικτών και εφαρμογής του Ενιαίου Συστήματος Παρακολούθησης Δεικτών, ανάλογα με το επίπεδο εμπλοκής των δικαιούχων στην παρακολούθηση των δεικτών των πράξεών τους, προκειμένου να διασφαλίζεται η ακρίβεια και η επάρκεια των δεδομένων, καθώς και η έγκαιρη ενημέρωση του ΟΠΣ – ΕΣΠΑ με τα εν λόγω στοιχεία, περιγράφονται περαιτέρω στο συνημμένο της παρούσης Οδηγό Ενιαίου Συστήματος Παρακολούθησης Δεικτών για τα Ε.Π. του ΕΣΠΑ 2014-2020, ο οποίος θα </w:t>
      </w:r>
      <w:proofErr w:type="spellStart"/>
      <w:r w:rsidRPr="001F05FD">
        <w:t>επικαιροποιείται</w:t>
      </w:r>
      <w:proofErr w:type="spellEnd"/>
      <w:r w:rsidRPr="001F05FD">
        <w:t xml:space="preserve">. </w:t>
      </w:r>
    </w:p>
    <w:p w:rsidR="001F05FD" w:rsidRPr="001F05FD" w:rsidRDefault="001F05FD" w:rsidP="001F05FD">
      <w:pPr>
        <w:numPr>
          <w:ilvl w:val="0"/>
          <w:numId w:val="8"/>
        </w:numPr>
        <w:tabs>
          <w:tab w:val="clear" w:pos="720"/>
        </w:tabs>
        <w:spacing w:after="120"/>
        <w:ind w:left="284" w:hanging="284"/>
        <w:jc w:val="both"/>
      </w:pPr>
      <w:r w:rsidRPr="001F05FD">
        <w:t xml:space="preserve">Η τήρηση των ηλεκτρονικών και φυσικών αρχείων ευαίσθητων προσωπικών δεδομένων θα πρέπει να πληροί τις προϋποθέσεις που θέτει η Αρχή Προστασίας Δεδομένων Προσωπικού Χαρακτήρα. Για την απόκτηση της σχετικής άδειας (όπου δεν έχει αποκτηθεί), μεριμνούν οι υπόχρεοι φορείς. Επισημαίνεται ότι για τους δείκτες της παρούσας πρόσκλησης δεν απαιτείται η συλλογή </w:t>
      </w:r>
      <w:proofErr w:type="spellStart"/>
      <w:r w:rsidRPr="001F05FD">
        <w:t>microdata</w:t>
      </w:r>
      <w:proofErr w:type="spellEnd"/>
      <w:r w:rsidRPr="001F05FD">
        <w:t>.</w:t>
      </w:r>
    </w:p>
    <w:p w:rsidR="001F05FD" w:rsidRPr="001F05FD" w:rsidRDefault="001F05FD" w:rsidP="001F05FD">
      <w:pPr>
        <w:spacing w:after="0" w:line="240" w:lineRule="auto"/>
      </w:pPr>
    </w:p>
    <w:p w:rsidR="001F05FD" w:rsidRPr="001928BA" w:rsidRDefault="001F05FD" w:rsidP="001F05FD">
      <w:pPr>
        <w:spacing w:after="120"/>
        <w:ind w:left="284"/>
        <w:jc w:val="both"/>
      </w:pPr>
    </w:p>
    <w:p w:rsidR="001928BA" w:rsidRDefault="001928BA" w:rsidP="001F05FD">
      <w:pPr>
        <w:spacing w:after="120"/>
        <w:ind w:left="284"/>
        <w:jc w:val="both"/>
      </w:pPr>
    </w:p>
    <w:sectPr w:rsidR="001928BA" w:rsidSect="00290D4B">
      <w:pgSz w:w="11906" w:h="16838"/>
      <w:pgMar w:top="709" w:right="1133" w:bottom="56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A1"/>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94C7E"/>
    <w:multiLevelType w:val="multilevel"/>
    <w:tmpl w:val="D6C01508"/>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720"/>
      </w:pPr>
      <w:rPr>
        <w:rFonts w:cs="Times New Roman" w:hint="default"/>
        <w:b/>
        <w:i w:val="0"/>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980" w:hanging="1080"/>
      </w:pPr>
      <w:rPr>
        <w:rFonts w:cs="Times New Roman" w:hint="default"/>
      </w:rPr>
    </w:lvl>
    <w:lvl w:ilvl="4">
      <w:start w:val="1"/>
      <w:numFmt w:val="decimal"/>
      <w:isLgl/>
      <w:lvlText w:val="%1.%2.%3.%4.%5."/>
      <w:lvlJc w:val="left"/>
      <w:pPr>
        <w:ind w:left="2160" w:hanging="1080"/>
      </w:pPr>
      <w:rPr>
        <w:rFonts w:cs="Times New Roman" w:hint="default"/>
      </w:rPr>
    </w:lvl>
    <w:lvl w:ilvl="5">
      <w:start w:val="1"/>
      <w:numFmt w:val="decimal"/>
      <w:isLgl/>
      <w:lvlText w:val="%1.%2.%3.%4.%5.%6."/>
      <w:lvlJc w:val="left"/>
      <w:pPr>
        <w:ind w:left="2700" w:hanging="1440"/>
      </w:pPr>
      <w:rPr>
        <w:rFonts w:cs="Times New Roman" w:hint="default"/>
      </w:rPr>
    </w:lvl>
    <w:lvl w:ilvl="6">
      <w:start w:val="1"/>
      <w:numFmt w:val="decimal"/>
      <w:isLgl/>
      <w:lvlText w:val="%1.%2.%3.%4.%5.%6.%7."/>
      <w:lvlJc w:val="left"/>
      <w:pPr>
        <w:ind w:left="2880" w:hanging="1440"/>
      </w:pPr>
      <w:rPr>
        <w:rFonts w:cs="Times New Roman" w:hint="default"/>
      </w:rPr>
    </w:lvl>
    <w:lvl w:ilvl="7">
      <w:start w:val="1"/>
      <w:numFmt w:val="decimal"/>
      <w:isLgl/>
      <w:lvlText w:val="%1.%2.%3.%4.%5.%6.%7.%8."/>
      <w:lvlJc w:val="left"/>
      <w:pPr>
        <w:ind w:left="3420" w:hanging="1800"/>
      </w:pPr>
      <w:rPr>
        <w:rFonts w:cs="Times New Roman" w:hint="default"/>
      </w:rPr>
    </w:lvl>
    <w:lvl w:ilvl="8">
      <w:start w:val="1"/>
      <w:numFmt w:val="decimal"/>
      <w:isLgl/>
      <w:lvlText w:val="%1.%2.%3.%4.%5.%6.%7.%8.%9."/>
      <w:lvlJc w:val="left"/>
      <w:pPr>
        <w:ind w:left="3600" w:hanging="1800"/>
      </w:pPr>
      <w:rPr>
        <w:rFonts w:cs="Times New Roman" w:hint="default"/>
      </w:rPr>
    </w:lvl>
  </w:abstractNum>
  <w:abstractNum w:abstractNumId="1">
    <w:nsid w:val="0429416D"/>
    <w:multiLevelType w:val="multilevel"/>
    <w:tmpl w:val="74320E3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B835027"/>
    <w:multiLevelType w:val="multilevel"/>
    <w:tmpl w:val="3C586E7E"/>
    <w:lvl w:ilvl="0">
      <w:start w:val="1"/>
      <w:numFmt w:val="decimal"/>
      <w:lvlText w:val="%1."/>
      <w:lvlJc w:val="left"/>
      <w:pPr>
        <w:ind w:left="720" w:hanging="360"/>
      </w:pPr>
      <w:rPr>
        <w:rFonts w:hint="default"/>
      </w:rPr>
    </w:lvl>
    <w:lvl w:ilvl="1">
      <w:start w:val="1"/>
      <w:numFmt w:val="decimal"/>
      <w:isLgl/>
      <w:lvlText w:val="%1.%2"/>
      <w:lvlJc w:val="left"/>
      <w:pPr>
        <w:ind w:left="264" w:firstLine="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nsid w:val="0E9F1FEC"/>
    <w:multiLevelType w:val="multilevel"/>
    <w:tmpl w:val="74320E36"/>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3EF6F3D"/>
    <w:multiLevelType w:val="hybridMultilevel"/>
    <w:tmpl w:val="C6CCFCF4"/>
    <w:lvl w:ilvl="0" w:tplc="0408000F">
      <w:start w:val="2"/>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6AD20B7"/>
    <w:multiLevelType w:val="multilevel"/>
    <w:tmpl w:val="9A621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D0D39E3"/>
    <w:multiLevelType w:val="multilevel"/>
    <w:tmpl w:val="145A24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28CC4EBA"/>
    <w:multiLevelType w:val="multilevel"/>
    <w:tmpl w:val="F6828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3742AB4"/>
    <w:multiLevelType w:val="multilevel"/>
    <w:tmpl w:val="C6AC4F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9B358B2"/>
    <w:multiLevelType w:val="multilevel"/>
    <w:tmpl w:val="EC6233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4BB47F02"/>
    <w:multiLevelType w:val="multilevel"/>
    <w:tmpl w:val="88861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C45313B"/>
    <w:multiLevelType w:val="hybridMultilevel"/>
    <w:tmpl w:val="0AC6B1F4"/>
    <w:lvl w:ilvl="0" w:tplc="0408000F">
      <w:start w:val="10"/>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nsid w:val="4E7238C0"/>
    <w:multiLevelType w:val="hybridMultilevel"/>
    <w:tmpl w:val="108E6C1C"/>
    <w:lvl w:ilvl="0" w:tplc="0408000F">
      <w:start w:val="1"/>
      <w:numFmt w:val="decimal"/>
      <w:lvlText w:val="%1."/>
      <w:lvlJc w:val="left"/>
      <w:pPr>
        <w:ind w:left="720" w:hanging="360"/>
      </w:pPr>
    </w:lvl>
    <w:lvl w:ilvl="1" w:tplc="D4963146">
      <w:numFmt w:val="bullet"/>
      <w:lvlText w:val=""/>
      <w:lvlJc w:val="left"/>
      <w:pPr>
        <w:ind w:left="1440" w:hanging="360"/>
      </w:pPr>
      <w:rPr>
        <w:rFonts w:ascii="Symbol" w:eastAsiaTheme="minorHAnsi" w:hAnsi="Symbol" w:cstheme="minorBidi"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nsid w:val="589219A9"/>
    <w:multiLevelType w:val="multilevel"/>
    <w:tmpl w:val="2E7225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ABE6424"/>
    <w:multiLevelType w:val="multilevel"/>
    <w:tmpl w:val="ECC27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6D00AC3"/>
    <w:multiLevelType w:val="multilevel"/>
    <w:tmpl w:val="FD02E6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EE0DD9"/>
    <w:multiLevelType w:val="multilevel"/>
    <w:tmpl w:val="D9008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F15BC8"/>
    <w:multiLevelType w:val="multilevel"/>
    <w:tmpl w:val="8D9E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BFD6AD4"/>
    <w:multiLevelType w:val="multilevel"/>
    <w:tmpl w:val="27EE4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D84076F"/>
    <w:multiLevelType w:val="multilevel"/>
    <w:tmpl w:val="9C145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13"/>
  </w:num>
  <w:num w:numId="5">
    <w:abstractNumId w:val="4"/>
  </w:num>
  <w:num w:numId="6">
    <w:abstractNumId w:val="11"/>
  </w:num>
  <w:num w:numId="7">
    <w:abstractNumId w:val="12"/>
  </w:num>
  <w:num w:numId="8">
    <w:abstractNumId w:val="9"/>
  </w:num>
  <w:num w:numId="9">
    <w:abstractNumId w:val="19"/>
  </w:num>
  <w:num w:numId="10">
    <w:abstractNumId w:val="10"/>
  </w:num>
  <w:num w:numId="11">
    <w:abstractNumId w:val="18"/>
  </w:num>
  <w:num w:numId="12">
    <w:abstractNumId w:val="16"/>
  </w:num>
  <w:num w:numId="13">
    <w:abstractNumId w:val="15"/>
  </w:num>
  <w:num w:numId="14">
    <w:abstractNumId w:val="7"/>
  </w:num>
  <w:num w:numId="15">
    <w:abstractNumId w:val="17"/>
  </w:num>
  <w:num w:numId="16">
    <w:abstractNumId w:val="3"/>
  </w:num>
  <w:num w:numId="17">
    <w:abstractNumId w:val="14"/>
  </w:num>
  <w:num w:numId="18">
    <w:abstractNumId w:val="1"/>
  </w:num>
  <w:num w:numId="19">
    <w:abstractNumId w:val="2"/>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45FA"/>
    <w:rsid w:val="00021944"/>
    <w:rsid w:val="00023D43"/>
    <w:rsid w:val="000D6057"/>
    <w:rsid w:val="001928BA"/>
    <w:rsid w:val="001F05FD"/>
    <w:rsid w:val="00200E58"/>
    <w:rsid w:val="00290D4B"/>
    <w:rsid w:val="00394D00"/>
    <w:rsid w:val="005723E1"/>
    <w:rsid w:val="008145FA"/>
    <w:rsid w:val="00821546"/>
    <w:rsid w:val="00884F4F"/>
    <w:rsid w:val="00894671"/>
    <w:rsid w:val="00927A16"/>
    <w:rsid w:val="00B6599C"/>
    <w:rsid w:val="00B85459"/>
    <w:rsid w:val="00BD6E01"/>
    <w:rsid w:val="00DE789D"/>
    <w:rsid w:val="00F463C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21546"/>
    <w:pPr>
      <w:ind w:left="720"/>
      <w:contextualSpacing/>
    </w:pPr>
  </w:style>
  <w:style w:type="character" w:styleId="-">
    <w:name w:val="Hyperlink"/>
    <w:basedOn w:val="a0"/>
    <w:uiPriority w:val="99"/>
    <w:unhideWhenUsed/>
    <w:rsid w:val="001928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821546"/>
    <w:pPr>
      <w:ind w:left="720"/>
      <w:contextualSpacing/>
    </w:pPr>
  </w:style>
  <w:style w:type="character" w:styleId="-">
    <w:name w:val="Hyperlink"/>
    <w:basedOn w:val="a0"/>
    <w:uiPriority w:val="99"/>
    <w:unhideWhenUsed/>
    <w:rsid w:val="001928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3617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h.gov.gr/articles/health/"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2</Pages>
  <Words>826</Words>
  <Characters>4466</Characters>
  <Application>Microsoft Office Word</Application>
  <DocSecurity>0</DocSecurity>
  <Lines>37</Lines>
  <Paragraphs>10</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5282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ΑΔΑΜΟΠΟΥΛΟΥ ΑΓΑΠΗ</dc:creator>
  <cp:lastModifiedBy>ΑΔΑΜΟΠΟΥΛΟΥ ΑΓΑΠΗ</cp:lastModifiedBy>
  <cp:revision>21</cp:revision>
  <dcterms:created xsi:type="dcterms:W3CDTF">2018-05-07T07:32:00Z</dcterms:created>
  <dcterms:modified xsi:type="dcterms:W3CDTF">2018-06-04T07:47:00Z</dcterms:modified>
</cp:coreProperties>
</file>